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FB00CE" w:rsidRPr="00421EFB" w:rsidRDefault="00FB00CE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FB00CE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FB00CE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FB00CE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FB00CE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FB00CE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FB00CE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FB00CE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FB00CE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FB00CE" w:rsidRDefault="00421EFB" w:rsidP="00421EFB">
      <w:pPr>
        <w:rPr>
          <w:color w:val="000000" w:themeColor="text1"/>
          <w:u w:val="single"/>
        </w:rPr>
      </w:pPr>
    </w:p>
    <w:p w:rsidR="003A48DA" w:rsidRPr="00FB00CE" w:rsidRDefault="00B3661C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FB00CE">
        <w:rPr>
          <w:color w:val="000000" w:themeColor="text1"/>
          <w:sz w:val="28"/>
          <w:szCs w:val="28"/>
          <w:u w:val="single"/>
        </w:rPr>
        <w:t>18.05</w:t>
      </w:r>
      <w:r w:rsidR="00DD1EC4" w:rsidRPr="00FB00CE">
        <w:rPr>
          <w:color w:val="000000" w:themeColor="text1"/>
          <w:sz w:val="28"/>
          <w:szCs w:val="28"/>
          <w:u w:val="single"/>
        </w:rPr>
        <w:t>.2017</w:t>
      </w:r>
      <w:r w:rsidR="00421EFB" w:rsidRPr="00FB00CE">
        <w:rPr>
          <w:color w:val="000000" w:themeColor="text1"/>
          <w:sz w:val="28"/>
          <w:szCs w:val="28"/>
          <w:u w:val="single"/>
        </w:rPr>
        <w:t xml:space="preserve"> г.</w:t>
      </w:r>
      <w:r w:rsidRPr="00FB00CE">
        <w:rPr>
          <w:color w:val="000000" w:themeColor="text1"/>
          <w:sz w:val="28"/>
          <w:szCs w:val="28"/>
        </w:rPr>
        <w:t xml:space="preserve">  №  </w:t>
      </w:r>
      <w:r w:rsidR="00CF1718" w:rsidRPr="00FB00CE">
        <w:rPr>
          <w:color w:val="000000" w:themeColor="text1"/>
          <w:sz w:val="28"/>
          <w:szCs w:val="28"/>
          <w:u w:val="single"/>
        </w:rPr>
        <w:t>6/2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  <w:bookmarkEnd w:id="0"/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A062D4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Москвы от 02 мая 2017 года № ОК-97/7,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объекте по адресу: ул. </w:t>
      </w:r>
      <w:proofErr w:type="spellStart"/>
      <w:r>
        <w:rPr>
          <w:color w:val="000000"/>
          <w:sz w:val="28"/>
          <w:szCs w:val="28"/>
        </w:rPr>
        <w:t>Люблинская</w:t>
      </w:r>
      <w:proofErr w:type="spellEnd"/>
      <w:r>
        <w:rPr>
          <w:color w:val="000000"/>
          <w:sz w:val="28"/>
          <w:szCs w:val="28"/>
        </w:rPr>
        <w:t>, д.  107/10 (ООО Фирма «Элегия-2»</w:t>
      </w:r>
      <w:r w:rsidR="001411E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1859D4" w:rsidRDefault="001859D4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60B88"/>
    <w:rsid w:val="001668DF"/>
    <w:rsid w:val="00172BCE"/>
    <w:rsid w:val="0017785D"/>
    <w:rsid w:val="001859D4"/>
    <w:rsid w:val="001950DB"/>
    <w:rsid w:val="001C659A"/>
    <w:rsid w:val="001F081E"/>
    <w:rsid w:val="002109CB"/>
    <w:rsid w:val="00225051"/>
    <w:rsid w:val="00227F73"/>
    <w:rsid w:val="00257DBC"/>
    <w:rsid w:val="002F28CC"/>
    <w:rsid w:val="003A48DA"/>
    <w:rsid w:val="003A5251"/>
    <w:rsid w:val="003E6ACD"/>
    <w:rsid w:val="00421EFB"/>
    <w:rsid w:val="004529FF"/>
    <w:rsid w:val="00472F57"/>
    <w:rsid w:val="004B5260"/>
    <w:rsid w:val="004E1F43"/>
    <w:rsid w:val="004F263E"/>
    <w:rsid w:val="00527FAC"/>
    <w:rsid w:val="00563C3A"/>
    <w:rsid w:val="005E386B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062D4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A48FC"/>
    <w:rsid w:val="00CD778E"/>
    <w:rsid w:val="00CF1541"/>
    <w:rsid w:val="00CF1718"/>
    <w:rsid w:val="00D02F02"/>
    <w:rsid w:val="00D05DDB"/>
    <w:rsid w:val="00D33522"/>
    <w:rsid w:val="00D650B6"/>
    <w:rsid w:val="00D91D98"/>
    <w:rsid w:val="00DC7ED4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13</cp:revision>
  <cp:lastPrinted>2017-05-19T06:11:00Z</cp:lastPrinted>
  <dcterms:created xsi:type="dcterms:W3CDTF">2017-03-31T07:27:00Z</dcterms:created>
  <dcterms:modified xsi:type="dcterms:W3CDTF">2017-05-19T07:44:00Z</dcterms:modified>
</cp:coreProperties>
</file>